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Security Awareness Program Guideline</w:t>
      </w:r>
    </w:p>
    <w:p>
      <w:r>
        <w:t>Disclaimer</w:t>
        <w:br/>
        <w:t>These materials are internal BTC guidelines for awareness and consistency. They are not a contract, promise, or guarantee of specific outcomes. BTC may interpret, modify, or suspend this guidance at any time. Where law, partner requirements, or a signed agreement require different handling, that requirement controls. Questions or exception requests: support@bigthinkcapital.com.</w:t>
      </w:r>
    </w:p>
    <w:p>
      <w:r>
        <w:br/>
        <w:t>Overview</w:t>
        <w:br/>
        <w:t>This guideline describes a lightweight approach BTC teams can use to build security habits over time. Adjust timing and topics to match team needs.</w:t>
      </w:r>
    </w:p>
    <w:p>
      <w:r>
        <w:t>Program Ideas</w:t>
        <w:br/>
        <w:t>- Onboarding touchpoints that explain data classification, phishing basics, and how to ask for help.</w:t>
        <w:br/>
        <w:t>- Periodic refreshers when tools or risks change.</w:t>
        <w:br/>
        <w:t>- Optional phishing simulations to practice safe clicks and reporting.</w:t>
      </w:r>
    </w:p>
    <w:p>
      <w:r>
        <w:t>Topics That Usually Help</w:t>
        <w:br/>
        <w:t>- Recognizing suspicious messages and links.</w:t>
        <w:br/>
        <w:t>- Handling Confidential versus Restricted information.</w:t>
        <w:br/>
        <w:t>- Why MFA matters and how to handle lost devices.</w:t>
        <w:br/>
        <w:t>- Simple incident steps: identify, contain, ask for help, recover.</w:t>
      </w:r>
    </w:p>
    <w:p>
      <w:r>
        <w:t>Measuring Progress</w:t>
        <w:br/>
        <w:t>- Keep an informal list of helpful questions asked and lessons learned.</w:t>
        <w:br/>
        <w:t>- Track participation in short sessions when convenient.</w:t>
      </w:r>
    </w:p>
    <w:p>
      <w:r>
        <w:br/>
        <w:t>Exceptions</w:t>
        <w:br/>
        <w:t>If a team needs to deviate from this guidance, email support@bigthinkcapital.com with the context, risk, and temporary controls. Keep exception decisions in writing.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