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BTC Lending Compliance Guidelines (Non-Binding)</w:t>
      </w:r>
    </w:p>
    <w:p>
      <w:r>
        <w:t>Disclaimer</w:t>
        <w:br/>
        <w:t>These materials are internal BTC guidelines for awareness and consistency. They are not a contract, promise, or guarantee of specific outcomes. BTC may interpret, modify, or suspend this guidance at any time. Where law, partner requirements, or a signed agreement require different handling, that requirement controls. Questions or exception requests: support@bigthinkcapital.com.</w:t>
      </w:r>
    </w:p>
    <w:p>
      <w:r>
        <w:br/>
        <w:t>Purpose</w:t>
        <w:br/>
        <w:t>This guideline outlines typical regulatory areas that may affect how BTC teams gather information, communicate with applicants, and share data with lender partners. It is intended to help staff make consistent choices and escalate questions quickly. This is not legal advice and does not establish mandatory procedures.</w:t>
      </w:r>
    </w:p>
    <w:p>
      <w:r>
        <w:t>Scope</w:t>
        <w:br/>
        <w:t>Applies to BTC staff who interact with prospective and existing business customers, manage web forms and chat flows, set up campaigns, or move information between systems such as Salesforce, Microsoft 365, RingCentral, DocuSign, and storage platforms.</w:t>
      </w:r>
    </w:p>
    <w:p>
      <w:r>
        <w:t>Key Areas To Keep In Mind</w:t>
        <w:br/>
        <w:t>- Fair treatment of applicants. Avoid discouraging potential applicants based on prohibited factors such as race, religion, national origin, sex, marital status, age, or public assistance status. If a conversation becomes sensitive, pause and contact support@bigthinkcapital.com for guidance.</w:t>
        <w:br/>
        <w:t>- Clear and accurate communications. Marketing copy, SMS, and email should avoid promises that feel absolute, such as guaranteed approval or undisclosed fees. Prefer explanations, ranges, and conditions. If unsure, have a manager review.</w:t>
        <w:br/>
        <w:t>- Credit data awareness. Only initiate credit pulls through approved flows with a legitimate reason. Avoid retaining full credit reports where not required by a partner workflow. Store minimal indicators in Salesforce.</w:t>
        <w:br/>
        <w:t>- Personal information handling. Treat bank statements, SSNs, and IDs as sensitive. Use BTC managed systems and avoid moving these files into personal drives or unknown tools.</w:t>
        <w:br/>
        <w:t>- State and partner differences. Some states or partners expect specific disclosures or consent practices. If a lender partner asks for a process you have not seen before, contact support@bigthinkcapital.com before proceeding.</w:t>
      </w:r>
    </w:p>
    <w:p>
      <w:r>
        <w:t>How To Work Day To Day</w:t>
        <w:br/>
        <w:t>- Intake. Capture the facts provided by the business in forms or calls without reshaping values to fit a narrative. If numbers are missing or unclear, ask the business to clarify rather than guessing.</w:t>
        <w:br/>
        <w:t>- Messaging. When using templates, keep the language as written. If you need a new angle for a campaign, propose it in writing and get a quick review.</w:t>
        <w:br/>
        <w:t>- Edge cases. If a situation feels unusual, document the context and ask for a quick consult by emailing support@bigthinkcapital.com.</w:t>
      </w:r>
    </w:p>
    <w:p>
      <w:r>
        <w:t>Monitoring Ideas</w:t>
        <w:br/>
        <w:t>- Spot check a small number of calls and emails weekly for clarity and fairness.</w:t>
        <w:br/>
        <w:t>- Review active web pages and chatbot prompts each quarter to ensure they match current offerings.</w:t>
      </w:r>
    </w:p>
    <w:p>
      <w:r>
        <w:t>Escalation</w:t>
        <w:br/>
        <w:t>If a customer raises a concern, if you notice inconsistent information in a marketing asset, or if a partner requests an unfamiliar step, email support@bigthinkcapital.com with the details. The team will respond with practical guidance for your case.</w:t>
      </w:r>
    </w:p>
    <w:p>
      <w:r>
        <w:br/>
        <w:t>Exceptions</w:t>
        <w:br/>
        <w:t>If a team needs to deviate from this guidance, email support@bigthinkcapital.com with the context, risk, and temporary controls. Keep exception decisions in writing.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